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7C" w:rsidRDefault="0059557C" w:rsidP="0059557C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CE2FF9" wp14:editId="53D4CD86">
            <wp:extent cx="5629523" cy="12801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94" cy="12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7C" w:rsidRDefault="0059557C" w:rsidP="002F0795">
      <w:pPr>
        <w:jc w:val="center"/>
        <w:rPr>
          <w:b/>
          <w:u w:val="single"/>
        </w:rPr>
      </w:pPr>
    </w:p>
    <w:p w:rsidR="001B4972" w:rsidRDefault="001B4972" w:rsidP="002F0795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1B4972" w:rsidRDefault="001B4972" w:rsidP="002F0795">
      <w:pPr>
        <w:jc w:val="center"/>
        <w:rPr>
          <w:b/>
          <w:u w:val="single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B4972" w:rsidTr="001B4972">
        <w:tc>
          <w:tcPr>
            <w:tcW w:w="2835" w:type="dxa"/>
            <w:vAlign w:val="center"/>
          </w:tcPr>
          <w:p w:rsidR="001B4972" w:rsidRPr="00240444" w:rsidRDefault="001B4972" w:rsidP="001B4972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663" w:type="dxa"/>
          </w:tcPr>
          <w:p w:rsidR="001B4972" w:rsidRDefault="00264EED" w:rsidP="001B4972">
            <w:r>
              <w:t>Employment Specialist</w:t>
            </w:r>
          </w:p>
          <w:p w:rsidR="001B4972" w:rsidRPr="00240444" w:rsidRDefault="001B4972" w:rsidP="001B4972"/>
        </w:tc>
      </w:tr>
      <w:tr w:rsidR="008D1287" w:rsidTr="001B4972">
        <w:tc>
          <w:tcPr>
            <w:tcW w:w="2835" w:type="dxa"/>
            <w:vAlign w:val="center"/>
          </w:tcPr>
          <w:p w:rsidR="008D1287" w:rsidRPr="00240444" w:rsidRDefault="008D1287" w:rsidP="008D1287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663" w:type="dxa"/>
          </w:tcPr>
          <w:p w:rsidR="008D1287" w:rsidRPr="00240444" w:rsidRDefault="00EA0B37" w:rsidP="008D1287">
            <w:r>
              <w:t xml:space="preserve">Telford </w:t>
            </w:r>
            <w:r w:rsidR="00651FA9">
              <w:t xml:space="preserve">office base however </w:t>
            </w:r>
            <w:r w:rsidR="008D1287">
              <w:t xml:space="preserve"> will be out in the community across </w:t>
            </w:r>
            <w:r>
              <w:t>Shropshire, Telford &amp; Wrekin</w:t>
            </w:r>
          </w:p>
          <w:p w:rsidR="008D1287" w:rsidRPr="00240444" w:rsidRDefault="008D1287" w:rsidP="008D1287"/>
        </w:tc>
      </w:tr>
      <w:tr w:rsidR="008D1287" w:rsidTr="001B4972">
        <w:tc>
          <w:tcPr>
            <w:tcW w:w="2835" w:type="dxa"/>
            <w:vAlign w:val="center"/>
          </w:tcPr>
          <w:p w:rsidR="008D1287" w:rsidRPr="00240444" w:rsidRDefault="008D1287" w:rsidP="008D1287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663" w:type="dxa"/>
          </w:tcPr>
          <w:p w:rsidR="008D1287" w:rsidRPr="00240444" w:rsidRDefault="00651FA9" w:rsidP="008D1287">
            <w:r>
              <w:t>Employment Services Manager</w:t>
            </w:r>
          </w:p>
          <w:p w:rsidR="008D1287" w:rsidRPr="00240444" w:rsidRDefault="008D1287" w:rsidP="008D1287"/>
        </w:tc>
      </w:tr>
      <w:tr w:rsidR="008D1287" w:rsidTr="001B4972">
        <w:tc>
          <w:tcPr>
            <w:tcW w:w="2835" w:type="dxa"/>
            <w:vAlign w:val="center"/>
          </w:tcPr>
          <w:p w:rsidR="008D1287" w:rsidRPr="00030584" w:rsidRDefault="008D1287" w:rsidP="008D1287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663" w:type="dxa"/>
          </w:tcPr>
          <w:p w:rsidR="008D1287" w:rsidRPr="00240444" w:rsidRDefault="008D1287" w:rsidP="008D1287">
            <w:r>
              <w:t xml:space="preserve">Supporting participants on the Building Better Opportunities </w:t>
            </w:r>
            <w:r w:rsidR="00264EED">
              <w:t xml:space="preserve">to move towards and secure employment </w:t>
            </w:r>
            <w:r>
              <w:t xml:space="preserve"> </w:t>
            </w:r>
          </w:p>
        </w:tc>
      </w:tr>
    </w:tbl>
    <w:p w:rsidR="002766AA" w:rsidRDefault="002766AA" w:rsidP="001B4972">
      <w:pPr>
        <w:ind w:right="-619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tbl>
      <w:tblPr>
        <w:tblStyle w:val="TableGrid"/>
        <w:tblW w:w="9498" w:type="dxa"/>
        <w:tblInd w:w="-572" w:type="dxa"/>
        <w:tblLook w:val="01E0" w:firstRow="1" w:lastRow="1" w:firstColumn="1" w:lastColumn="1" w:noHBand="0" w:noVBand="0"/>
      </w:tblPr>
      <w:tblGrid>
        <w:gridCol w:w="9498"/>
      </w:tblGrid>
      <w:tr w:rsidR="00030584" w:rsidTr="001B4972">
        <w:trPr>
          <w:trHeight w:val="840"/>
        </w:trPr>
        <w:tc>
          <w:tcPr>
            <w:tcW w:w="9498" w:type="dxa"/>
          </w:tcPr>
          <w:p w:rsidR="006218E9" w:rsidRPr="006218E9" w:rsidRDefault="006218E9" w:rsidP="006218E9">
            <w:pPr>
              <w:jc w:val="center"/>
              <w:rPr>
                <w:b/>
                <w:i/>
                <w:iCs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1A5578" w:rsidRDefault="001A5578" w:rsidP="006218E9">
            <w:pPr>
              <w:spacing w:after="167"/>
              <w:ind w:right="4"/>
            </w:pPr>
            <w:r w:rsidRPr="001A5578">
              <w:t>This post is part of the Building Better Opportunities programme in Shropshire, Telford &amp; Wrekin and is funded by the Big Lottery and the European Soci</w:t>
            </w:r>
            <w:r w:rsidR="003F2C79">
              <w:t>al Fund as part of the 2014-2023</w:t>
            </w:r>
            <w:r w:rsidRPr="001A5578">
              <w:t xml:space="preserve"> European Structural and Investment Funds Growth Programme in England.</w:t>
            </w:r>
          </w:p>
          <w:p w:rsidR="001A5578" w:rsidRDefault="001A5578" w:rsidP="006218E9">
            <w:pPr>
              <w:spacing w:after="167"/>
              <w:ind w:right="4"/>
            </w:pPr>
            <w:r>
              <w:t>This role will contribute to the development, delivery and success of the BBO project</w:t>
            </w:r>
          </w:p>
          <w:p w:rsidR="001A5578" w:rsidRDefault="00264EED" w:rsidP="006218E9">
            <w:pPr>
              <w:spacing w:after="167"/>
              <w:ind w:right="4"/>
            </w:pPr>
            <w:r>
              <w:t>Working intensively with a maximum caseload of 35-40 people who have considerable barriers</w:t>
            </w:r>
            <w:r w:rsidR="006218E9">
              <w:t xml:space="preserve"> that impacts on their ability to gain </w:t>
            </w:r>
            <w:r>
              <w:t xml:space="preserve">work. </w:t>
            </w:r>
          </w:p>
          <w:p w:rsidR="001A5578" w:rsidRDefault="00264EED" w:rsidP="006218E9">
            <w:pPr>
              <w:spacing w:after="167"/>
              <w:ind w:right="4"/>
            </w:pPr>
            <w:r>
              <w:t xml:space="preserve">Assisting them to obtain and sustain </w:t>
            </w:r>
            <w:r w:rsidR="00FD6BA3">
              <w:t xml:space="preserve">training and </w:t>
            </w:r>
            <w:r>
              <w:t xml:space="preserve">employment that is consistent with their vocational goals. </w:t>
            </w:r>
          </w:p>
          <w:p w:rsidR="00264EED" w:rsidRDefault="00264EED" w:rsidP="006218E9">
            <w:pPr>
              <w:spacing w:after="167"/>
              <w:ind w:right="4"/>
            </w:pPr>
            <w:r>
              <w:t xml:space="preserve">Meeting and exceeding performance targets for referrals, employer engagement, and job starts in </w:t>
            </w:r>
            <w:r w:rsidR="003F2C79">
              <w:t xml:space="preserve">adherence with </w:t>
            </w:r>
            <w:r>
              <w:t>complia</w:t>
            </w:r>
            <w:r w:rsidR="006218E9">
              <w:t>nce with contractual guidelines,</w:t>
            </w:r>
            <w:r>
              <w:t xml:space="preserve"> quality procedures</w:t>
            </w:r>
            <w:r w:rsidR="006218E9">
              <w:t xml:space="preserve"> and paperwork</w:t>
            </w:r>
            <w:r w:rsidR="005C539B">
              <w:t xml:space="preserve"> requirements</w:t>
            </w:r>
            <w:r>
              <w:t xml:space="preserve">. </w:t>
            </w:r>
          </w:p>
          <w:p w:rsidR="00FD6BA3" w:rsidRDefault="00264EED" w:rsidP="00264EED">
            <w:pPr>
              <w:ind w:right="4"/>
            </w:pPr>
            <w:r>
              <w:t xml:space="preserve">This job description is written as an indication of the nature and scope of duties and responsibilities. It is not intended as a fully descriptive list. </w:t>
            </w:r>
          </w:p>
          <w:p w:rsidR="00264EED" w:rsidRDefault="00264EED" w:rsidP="00264EED">
            <w:pPr>
              <w:ind w:right="4"/>
            </w:pPr>
            <w:r>
              <w:t>The post-holder will be expected to carry out</w:t>
            </w:r>
            <w:r w:rsidR="006218E9">
              <w:t xml:space="preserve"> other duties assigned by</w:t>
            </w:r>
            <w:r w:rsidR="00651FA9">
              <w:t xml:space="preserve"> the manager</w:t>
            </w:r>
            <w:r>
              <w:t xml:space="preserve"> which are appropriate to the grade.  </w:t>
            </w:r>
          </w:p>
          <w:p w:rsidR="00294B06" w:rsidRPr="001A5578" w:rsidRDefault="00264EED" w:rsidP="001A5578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9498" w:type="dxa"/>
        <w:tblInd w:w="-572" w:type="dxa"/>
        <w:tblLook w:val="01E0" w:firstRow="1" w:lastRow="1" w:firstColumn="1" w:lastColumn="1" w:noHBand="0" w:noVBand="0"/>
      </w:tblPr>
      <w:tblGrid>
        <w:gridCol w:w="1396"/>
        <w:gridCol w:w="8102"/>
      </w:tblGrid>
      <w:tr w:rsidR="002F0795" w:rsidTr="003F2C79">
        <w:tc>
          <w:tcPr>
            <w:tcW w:w="9498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B54172" w:rsidRDefault="002F0795" w:rsidP="002F0795">
            <w:pPr>
              <w:jc w:val="center"/>
              <w:rPr>
                <w:b/>
                <w:color w:val="FF0000"/>
                <w:szCs w:val="20"/>
                <w:lang w:val="en-US"/>
              </w:rPr>
            </w:pPr>
          </w:p>
        </w:tc>
      </w:tr>
      <w:tr w:rsidR="00DC52C6" w:rsidTr="003F2C79">
        <w:trPr>
          <w:trHeight w:val="234"/>
        </w:trPr>
        <w:tc>
          <w:tcPr>
            <w:tcW w:w="1396" w:type="dxa"/>
          </w:tcPr>
          <w:p w:rsidR="00DC52C6" w:rsidRDefault="00DC52C6" w:rsidP="00DC52C6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DC52C6" w:rsidRPr="00BE0A2E" w:rsidRDefault="003F2C79" w:rsidP="00DC52C6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Support participants to understand their skills aspiration and goals through the completion of  vocational</w:t>
            </w:r>
            <w:r w:rsidR="009529ED">
              <w:rPr>
                <w:szCs w:val="20"/>
                <w:lang w:val="en-US"/>
              </w:rPr>
              <w:t xml:space="preserve"> profile and produce an</w:t>
            </w:r>
            <w:r w:rsidR="005C539B">
              <w:rPr>
                <w:szCs w:val="20"/>
                <w:lang w:val="en-US"/>
              </w:rPr>
              <w:t xml:space="preserve"> a</w:t>
            </w:r>
            <w:r>
              <w:rPr>
                <w:szCs w:val="20"/>
                <w:lang w:val="en-US"/>
              </w:rPr>
              <w:t>ction plan to obtain employment in line with their preferences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4B0A4B" w:rsidP="003F2C79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Provide  </w:t>
            </w:r>
            <w:r w:rsidR="003F2C79" w:rsidRPr="00BE0A2E">
              <w:rPr>
                <w:szCs w:val="20"/>
                <w:lang w:val="en-US"/>
              </w:rPr>
              <w:t xml:space="preserve">employability support to participants referred to the project to ensure appropriate and effective activity to enter education, training or </w:t>
            </w:r>
            <w:r w:rsidR="003F2C79" w:rsidRPr="00BE0A2E">
              <w:rPr>
                <w:szCs w:val="20"/>
                <w:lang w:val="en-US"/>
              </w:rPr>
              <w:lastRenderedPageBreak/>
              <w:t>employment is undertaken by the participant according to their level of job readiness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>Identify barriers to employment and assist participants with Job readiness skills, job search strategies, CV building etc.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 xml:space="preserve">Keep abreast of local </w:t>
            </w:r>
            <w:proofErr w:type="spellStart"/>
            <w:r w:rsidRPr="00BE0A2E">
              <w:rPr>
                <w:szCs w:val="20"/>
                <w:lang w:val="en-US"/>
              </w:rPr>
              <w:t>labour</w:t>
            </w:r>
            <w:proofErr w:type="spellEnd"/>
            <w:r w:rsidRPr="00BE0A2E">
              <w:rPr>
                <w:szCs w:val="20"/>
                <w:lang w:val="en-US"/>
              </w:rPr>
              <w:t xml:space="preserve"> market trends, job openings, skills requirements and general information that will assist participants in seeking employment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>Monitor participant progress ensuring they are fully supported to develop motivation and confidence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Proactively source potential  job opportunities with employers through tailored and targeted approach( minimum of 6 new employers weekly)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>Effectively manage active caseload ensuring confidentially is maintained and awareness of participant journey can be demonstrated to relevant stakeholders at any time</w:t>
            </w:r>
          </w:p>
        </w:tc>
      </w:tr>
      <w:tr w:rsidR="003F2C79" w:rsidTr="003F2C79">
        <w:trPr>
          <w:trHeight w:val="234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>Develop and maintain positive working relationships with wider BBO partnership, external partners to support and aid participants journey towards training, volunteering and employment goals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numPr>
                <w:ilvl w:val="0"/>
                <w:numId w:val="2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szCs w:val="20"/>
                <w:lang w:val="en-US"/>
              </w:rPr>
            </w:pPr>
            <w:r w:rsidRPr="00BE0A2E">
              <w:rPr>
                <w:szCs w:val="20"/>
                <w:lang w:val="en-US"/>
              </w:rPr>
              <w:t>Ensure all  participant information  is requested, recorded, stored electronically and in hard copy in accordance with BBO/Compliance requirements so that participants journey to employment/training is fully documented and claims can be made in  a timely fashion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10.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Receive and manage referrals ensuring all referrals are contacted within agreed timescales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11.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To regularly evaluate and document participant progres</w:t>
            </w:r>
            <w:r>
              <w:rPr>
                <w:lang w:val="en-US"/>
              </w:rPr>
              <w:t>s via SMART reviews with</w:t>
            </w:r>
            <w:r w:rsidRPr="00BE0A2E">
              <w:rPr>
                <w:lang w:val="en-US"/>
              </w:rPr>
              <w:t xml:space="preserve"> participant </w:t>
            </w:r>
            <w:r>
              <w:rPr>
                <w:lang w:val="en-US"/>
              </w:rPr>
              <w:t>ensuring action plans are living documents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12.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To assist in the preparation of project reviews, reports, project audits, case studies and data as required by BBO,ESF, Landau and other stakeholders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13.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Ensure that you take positive actions to safeguard young people and vulnerable adults you come into contact and follow correct procedures around safeguarding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14.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To be committed to continuing professional development ( CPD)to maintain and develop professional standards</w:t>
            </w:r>
          </w:p>
        </w:tc>
      </w:tr>
      <w:tr w:rsidR="003F2C79" w:rsidTr="003F2C79"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15.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To fully comply with Health and Safety, Equal opportunities/Diversity, Quality assurance, sustainable development, safeguarding and GDPR protocols</w:t>
            </w:r>
          </w:p>
        </w:tc>
      </w:tr>
      <w:tr w:rsidR="003F2C79" w:rsidRPr="00BE0A2E" w:rsidTr="003F2C7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396" w:type="dxa"/>
          </w:tcPr>
          <w:p w:rsidR="003F2C79" w:rsidRDefault="003F2C79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16.</w:t>
            </w:r>
          </w:p>
        </w:tc>
        <w:tc>
          <w:tcPr>
            <w:tcW w:w="8102" w:type="dxa"/>
          </w:tcPr>
          <w:p w:rsidR="003F2C79" w:rsidRPr="00BE0A2E" w:rsidRDefault="003F2C79" w:rsidP="003F2C79">
            <w:pPr>
              <w:rPr>
                <w:lang w:val="en-US"/>
              </w:rPr>
            </w:pPr>
            <w:r w:rsidRPr="00BE0A2E">
              <w:rPr>
                <w:lang w:val="en-US"/>
              </w:rPr>
              <w:t>To undertake such other duties, training and/or hours of work as may be reasonably required and which are consistent with the general level of responsibility of this role.</w:t>
            </w:r>
          </w:p>
        </w:tc>
      </w:tr>
      <w:tr w:rsidR="004B0A4B" w:rsidRPr="00BE0A2E" w:rsidTr="003F2C7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396" w:type="dxa"/>
          </w:tcPr>
          <w:p w:rsidR="004B0A4B" w:rsidRDefault="004B0A4B" w:rsidP="003F2C79">
            <w:pPr>
              <w:ind w:left="18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17.</w:t>
            </w:r>
          </w:p>
        </w:tc>
        <w:tc>
          <w:tcPr>
            <w:tcW w:w="8102" w:type="dxa"/>
          </w:tcPr>
          <w:p w:rsidR="004B0A4B" w:rsidRDefault="004B0A4B" w:rsidP="003F2C79">
            <w:pPr>
              <w:rPr>
                <w:lang w:val="en-US"/>
              </w:rPr>
            </w:pPr>
          </w:p>
          <w:p w:rsidR="004B0A4B" w:rsidRPr="00BE0A2E" w:rsidRDefault="004B0A4B" w:rsidP="003F2C79">
            <w:pPr>
              <w:rPr>
                <w:lang w:val="en-US"/>
              </w:rPr>
            </w:pPr>
            <w:r>
              <w:rPr>
                <w:lang w:val="en-US"/>
              </w:rPr>
              <w:t xml:space="preserve">To hit all performance targets </w:t>
            </w:r>
          </w:p>
        </w:tc>
      </w:tr>
    </w:tbl>
    <w:p w:rsidR="00D94415" w:rsidRDefault="00D94415"/>
    <w:p w:rsidR="00BC5B63" w:rsidRDefault="00BC5B63" w:rsidP="00416D60">
      <w:pPr>
        <w:ind w:left="180"/>
      </w:pPr>
    </w:p>
    <w:tbl>
      <w:tblPr>
        <w:tblStyle w:val="TableGrid"/>
        <w:tblW w:w="9498" w:type="dxa"/>
        <w:tblInd w:w="-572" w:type="dxa"/>
        <w:tblLook w:val="01E0" w:firstRow="1" w:lastRow="1" w:firstColumn="1" w:lastColumn="1" w:noHBand="0" w:noVBand="0"/>
      </w:tblPr>
      <w:tblGrid>
        <w:gridCol w:w="1392"/>
        <w:gridCol w:w="8106"/>
      </w:tblGrid>
      <w:tr w:rsidR="00B54172" w:rsidTr="001B4972">
        <w:tc>
          <w:tcPr>
            <w:tcW w:w="9498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Default="003F2C79" w:rsidP="00B5417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</w:t>
            </w:r>
            <w:r w:rsidR="006C0E8D"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5C539B" w:rsidP="00B541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</w:t>
            </w: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C52C6" w:rsidTr="001B4972">
        <w:tc>
          <w:tcPr>
            <w:tcW w:w="1392" w:type="dxa"/>
          </w:tcPr>
          <w:p w:rsidR="00DC52C6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8106" w:type="dxa"/>
          </w:tcPr>
          <w:p w:rsidR="00DC52C6" w:rsidRDefault="00BE0A2E" w:rsidP="00DC52C6">
            <w:r w:rsidRPr="00BE0A2E">
              <w:t>Work in collaboration with all staff teams across Landau to ensure effective cross-working to meet the objectives of the charity and our contracts</w:t>
            </w:r>
          </w:p>
        </w:tc>
      </w:tr>
      <w:tr w:rsidR="00DC52C6" w:rsidTr="001B4972">
        <w:tc>
          <w:tcPr>
            <w:tcW w:w="1392" w:type="dxa"/>
          </w:tcPr>
          <w:p w:rsidR="00DC52C6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8106" w:type="dxa"/>
          </w:tcPr>
          <w:p w:rsidR="00DC52C6" w:rsidRDefault="00DC52C6" w:rsidP="00DC52C6">
            <w:r>
              <w:t>Keep abreast of developments in local, regional and national skills and employment provision supporting vulnerable groups</w:t>
            </w:r>
          </w:p>
        </w:tc>
      </w:tr>
      <w:tr w:rsidR="00DC52C6" w:rsidTr="001B4972">
        <w:tc>
          <w:tcPr>
            <w:tcW w:w="1392" w:type="dxa"/>
          </w:tcPr>
          <w:p w:rsidR="00DC52C6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</w:t>
            </w:r>
          </w:p>
        </w:tc>
        <w:tc>
          <w:tcPr>
            <w:tcW w:w="8106" w:type="dxa"/>
          </w:tcPr>
          <w:p w:rsidR="00DC52C6" w:rsidRDefault="00BE0A2E" w:rsidP="00DC52C6">
            <w:r w:rsidRPr="00BE0A2E">
              <w:t>To contribute to team and departmental meetings as required</w:t>
            </w:r>
          </w:p>
        </w:tc>
      </w:tr>
      <w:tr w:rsidR="00DC52C6" w:rsidTr="001B4972">
        <w:tc>
          <w:tcPr>
            <w:tcW w:w="1392" w:type="dxa"/>
          </w:tcPr>
          <w:p w:rsidR="00DC52C6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8106" w:type="dxa"/>
          </w:tcPr>
          <w:p w:rsidR="00DC52C6" w:rsidRDefault="00BE0A2E" w:rsidP="00DC52C6">
            <w:r w:rsidRPr="00BE0A2E">
              <w:t>To promote the charity in a positive and professional manner and to act as an advocate for Landau</w:t>
            </w:r>
          </w:p>
        </w:tc>
      </w:tr>
      <w:tr w:rsidR="00DC52C6" w:rsidTr="001B4972">
        <w:tc>
          <w:tcPr>
            <w:tcW w:w="1392" w:type="dxa"/>
          </w:tcPr>
          <w:p w:rsidR="00DC52C6" w:rsidRPr="006C0E8D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8106" w:type="dxa"/>
          </w:tcPr>
          <w:p w:rsidR="00DC52C6" w:rsidRPr="00407448" w:rsidRDefault="00BE0A2E" w:rsidP="00DC52C6">
            <w:r w:rsidRPr="00BE0A2E">
              <w:t>To provide support to organisational staff and the Charity CEO as required</w:t>
            </w:r>
          </w:p>
        </w:tc>
      </w:tr>
      <w:tr w:rsidR="00DC52C6" w:rsidTr="001B4972">
        <w:tc>
          <w:tcPr>
            <w:tcW w:w="1392" w:type="dxa"/>
          </w:tcPr>
          <w:p w:rsidR="00DC52C6" w:rsidRPr="006C0E8D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8106" w:type="dxa"/>
          </w:tcPr>
          <w:p w:rsidR="00DC52C6" w:rsidRDefault="001A5578" w:rsidP="001A5578">
            <w:r>
              <w:t xml:space="preserve">Landau </w:t>
            </w:r>
            <w:proofErr w:type="spellStart"/>
            <w:r>
              <w:t>Cognisoft</w:t>
            </w:r>
            <w:proofErr w:type="spellEnd"/>
            <w:r>
              <w:t xml:space="preserve"> </w:t>
            </w:r>
            <w:r w:rsidR="00BE3E54" w:rsidRPr="00BE3E54">
              <w:t xml:space="preserve"> database </w:t>
            </w:r>
            <w:r>
              <w:t>to be fully utilised in order facilitate employer engagement activities across contracts</w:t>
            </w:r>
          </w:p>
        </w:tc>
      </w:tr>
      <w:tr w:rsidR="00DC52C6" w:rsidTr="001B4972">
        <w:tc>
          <w:tcPr>
            <w:tcW w:w="1392" w:type="dxa"/>
          </w:tcPr>
          <w:p w:rsidR="00DC52C6" w:rsidRPr="006C0E8D" w:rsidRDefault="00DC52C6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8106" w:type="dxa"/>
          </w:tcPr>
          <w:p w:rsidR="00DC52C6" w:rsidRDefault="001A5578" w:rsidP="00DC52C6">
            <w:r>
              <w:t>Inspire, motivate, encourage those within your  sphere of influence</w:t>
            </w:r>
          </w:p>
        </w:tc>
      </w:tr>
      <w:tr w:rsidR="004B0A4B" w:rsidTr="001B4972">
        <w:tc>
          <w:tcPr>
            <w:tcW w:w="1392" w:type="dxa"/>
          </w:tcPr>
          <w:p w:rsidR="004B0A4B" w:rsidRDefault="004B0A4B" w:rsidP="00DC52C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8. </w:t>
            </w:r>
          </w:p>
        </w:tc>
        <w:tc>
          <w:tcPr>
            <w:tcW w:w="8106" w:type="dxa"/>
          </w:tcPr>
          <w:p w:rsidR="004B0A4B" w:rsidRDefault="004B0A4B" w:rsidP="00DC52C6"/>
        </w:tc>
      </w:tr>
    </w:tbl>
    <w:p w:rsidR="00407448" w:rsidRDefault="00407448" w:rsidP="00B54172">
      <w:pPr>
        <w:rPr>
          <w:b/>
          <w:u w:val="single"/>
        </w:rPr>
      </w:pPr>
    </w:p>
    <w:p w:rsidR="00407448" w:rsidRDefault="00407448" w:rsidP="00407448">
      <w:pPr>
        <w:jc w:val="both"/>
      </w:pPr>
      <w:r>
        <w:t>Post holder may be required from time to time to undertake other duties, not specifically mentioned in this job description, but within levels of their salary scale</w:t>
      </w:r>
      <w:r w:rsidR="004F454C">
        <w:t>. On occasion there may be travel and work in unsocial hours</w:t>
      </w:r>
    </w:p>
    <w:p w:rsidR="00256D7F" w:rsidRPr="00407448" w:rsidRDefault="00256D7F" w:rsidP="00407448">
      <w:pPr>
        <w:jc w:val="both"/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962"/>
        <w:gridCol w:w="6801"/>
      </w:tblGrid>
      <w:tr w:rsidR="00B54172"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3D27C3" w:rsidRDefault="004B0A4B" w:rsidP="00B54172">
            <w:r>
              <w:t xml:space="preserve">Nicki Ulloa </w:t>
            </w:r>
          </w:p>
        </w:tc>
      </w:tr>
      <w:tr w:rsidR="00B54172"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3D27C3" w:rsidRDefault="004B0A4B" w:rsidP="00B54172">
            <w:r>
              <w:t>May 2020</w:t>
            </w:r>
          </w:p>
        </w:tc>
      </w:tr>
    </w:tbl>
    <w:p w:rsidR="00B54172" w:rsidRPr="00FD6BA3" w:rsidRDefault="00604512" w:rsidP="00D969AD">
      <w:pPr>
        <w:pStyle w:val="22-Modeltekst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FD6BA3">
        <w:rPr>
          <w:rFonts w:asciiTheme="minorHAnsi" w:hAnsiTheme="minorHAnsi" w:cs="Arial"/>
          <w:sz w:val="20"/>
          <w:szCs w:val="20"/>
          <w:lang w:val="en-US"/>
        </w:rPr>
        <w:t>T</w:t>
      </w:r>
      <w:r w:rsidR="00B54172" w:rsidRPr="00FD6BA3">
        <w:rPr>
          <w:rFonts w:asciiTheme="minorHAnsi" w:hAnsiTheme="minorHAnsi" w:cs="Arial"/>
          <w:sz w:val="20"/>
          <w:szCs w:val="20"/>
          <w:lang w:val="en-US"/>
        </w:rPr>
        <w:t>he Company reserves the right to vary or amend the duties and responsibilities of the post holder at any time according to the needs of the Company’s business.</w:t>
      </w:r>
    </w:p>
    <w:p w:rsidR="00651FA9" w:rsidRPr="00E71F5D" w:rsidRDefault="00651FA9" w:rsidP="00651FA9">
      <w:pPr>
        <w:pStyle w:val="Heading1"/>
        <w:ind w:left="-5"/>
        <w:rPr>
          <w:color w:val="auto"/>
          <w:szCs w:val="24"/>
        </w:rPr>
      </w:pPr>
      <w:r w:rsidRPr="00E71F5D">
        <w:rPr>
          <w:color w:val="auto"/>
          <w:szCs w:val="24"/>
        </w:rPr>
        <w:t xml:space="preserve">Person specification </w:t>
      </w:r>
    </w:p>
    <w:p w:rsidR="00651FA9" w:rsidRPr="00E71F5D" w:rsidRDefault="00651FA9" w:rsidP="00651FA9">
      <w:pPr>
        <w:pStyle w:val="Heading2"/>
        <w:rPr>
          <w:color w:val="auto"/>
          <w:sz w:val="24"/>
          <w:szCs w:val="24"/>
        </w:rPr>
      </w:pPr>
      <w:r w:rsidRPr="00E71F5D">
        <w:rPr>
          <w:color w:val="auto"/>
          <w:sz w:val="24"/>
          <w:szCs w:val="24"/>
        </w:rPr>
        <w:t xml:space="preserve">Job title:  Employment Specialist </w:t>
      </w:r>
      <w:r w:rsidRPr="00E71F5D">
        <w:rPr>
          <w:b w:val="0"/>
          <w:color w:val="auto"/>
          <w:sz w:val="24"/>
          <w:szCs w:val="24"/>
        </w:rPr>
        <w:t xml:space="preserve">(E = Essential D = Desirable) </w:t>
      </w:r>
    </w:p>
    <w:tbl>
      <w:tblPr>
        <w:tblStyle w:val="TableGrid0"/>
        <w:tblW w:w="9249" w:type="dxa"/>
        <w:tblInd w:w="-110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9249"/>
      </w:tblGrid>
      <w:tr w:rsidR="00651FA9" w:rsidTr="00813D35">
        <w:trPr>
          <w:trHeight w:val="48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FD6BA3" w:rsidRDefault="005C539B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51FA9"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SKILLS AND CORE COMPETENCIES </w:t>
            </w:r>
          </w:p>
        </w:tc>
      </w:tr>
      <w:tr w:rsidR="00651FA9" w:rsidTr="00813D35">
        <w:trPr>
          <w:trHeight w:val="1256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2F0BE9" w:rsidRDefault="00651FA9" w:rsidP="002F0BE9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Technical competency (qualifications and training)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2083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Information, Advice &amp; Guidance (IAG) Level 3 </w:t>
            </w:r>
            <w:r w:rsidR="00FD6BA3" w:rsidRPr="002F0BE9">
              <w:rPr>
                <w:rFonts w:asciiTheme="minorHAnsi" w:hAnsiTheme="minorHAnsi"/>
                <w:sz w:val="22"/>
                <w:szCs w:val="22"/>
              </w:rPr>
              <w:t>minimum or</w:t>
            </w:r>
            <w:r w:rsidR="002F0BE9" w:rsidRPr="002F0BE9">
              <w:rPr>
                <w:rFonts w:asciiTheme="minorHAnsi" w:hAnsiTheme="minorHAnsi"/>
                <w:sz w:val="22"/>
                <w:szCs w:val="22"/>
              </w:rPr>
              <w:t xml:space="preserve"> willing to </w:t>
            </w:r>
            <w:r w:rsidR="00FD6BA3" w:rsidRPr="002F0BE9">
              <w:rPr>
                <w:rFonts w:asciiTheme="minorHAnsi" w:hAnsiTheme="minorHAnsi"/>
                <w:sz w:val="22"/>
                <w:szCs w:val="22"/>
              </w:rPr>
              <w:t xml:space="preserve">work towards this, </w:t>
            </w:r>
            <w:r w:rsidR="00FD6BA3" w:rsidRPr="0059557C">
              <w:rPr>
                <w:rFonts w:asciiTheme="minorHAnsi" w:hAnsiTheme="minorHAnsi"/>
                <w:b/>
                <w:sz w:val="22"/>
                <w:szCs w:val="22"/>
              </w:rPr>
              <w:t>(E</w:t>
            </w:r>
            <w:r w:rsidRPr="0059557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D6BA3" w:rsidRPr="002F0BE9" w:rsidRDefault="00651FA9" w:rsidP="002F0BE9">
            <w:pPr>
              <w:pStyle w:val="ListParagraph"/>
              <w:numPr>
                <w:ilvl w:val="0"/>
                <w:numId w:val="15"/>
              </w:numPr>
              <w:spacing w:after="4" w:line="239" w:lineRule="auto"/>
              <w:ind w:right="2083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Holds Mental Health First Aid Qualification </w:t>
            </w:r>
            <w:r w:rsidRPr="0059557C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1FA9" w:rsidRPr="002F0BE9" w:rsidRDefault="006B709D" w:rsidP="002F0BE9">
            <w:pPr>
              <w:pStyle w:val="ListParagraph"/>
              <w:numPr>
                <w:ilvl w:val="0"/>
                <w:numId w:val="15"/>
              </w:numPr>
              <w:spacing w:after="4" w:line="239" w:lineRule="auto"/>
              <w:ind w:right="2083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Trained in the IPS approach </w:t>
            </w:r>
            <w:r w:rsidRPr="0059557C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</w:tr>
      <w:tr w:rsidR="00651FA9" w:rsidTr="00813D35">
        <w:trPr>
          <w:trHeight w:val="125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2F0BE9" w:rsidRDefault="00651FA9" w:rsidP="002F0BE9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>Relevant previous experienc</w:t>
            </w:r>
            <w:r w:rsidR="00FD6BA3" w:rsidRPr="00FD6BA3">
              <w:rPr>
                <w:rFonts w:asciiTheme="minorHAnsi" w:hAnsiTheme="minorHAnsi"/>
                <w:sz w:val="22"/>
                <w:szCs w:val="22"/>
              </w:rPr>
              <w:t>e in the recruitment/ welfare to work/ supported employment</w:t>
            </w:r>
            <w:r w:rsidRPr="00FD6BA3">
              <w:rPr>
                <w:rFonts w:asciiTheme="minorHAnsi" w:hAnsiTheme="minorHAnsi"/>
                <w:sz w:val="22"/>
                <w:szCs w:val="22"/>
              </w:rPr>
              <w:t xml:space="preserve"> field</w:t>
            </w:r>
            <w:r w:rsidR="004B0A4B">
              <w:rPr>
                <w:rFonts w:asciiTheme="minorHAnsi" w:hAnsiTheme="minorHAnsi"/>
                <w:b/>
                <w:sz w:val="22"/>
                <w:szCs w:val="22"/>
              </w:rPr>
              <w:t xml:space="preserve"> (E)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>Experience working with disabled/disadvantaged young people/adults/children in employment focused programmes</w:t>
            </w:r>
            <w:r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 (E)</w:t>
            </w:r>
            <w:r w:rsidRPr="00FD6B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D6BA3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Experience and knowledge of barriers faced by people mental health issues </w:t>
            </w:r>
            <w:r w:rsidRPr="0059557C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  <w:p w:rsidR="00651FA9" w:rsidRPr="00FD6BA3" w:rsidRDefault="006B709D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administration of funded provision (Lottery. ESF,ACL, SFA)</w:t>
            </w:r>
            <w:r w:rsidR="005955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557C" w:rsidRPr="0059557C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  <w:p w:rsidR="00651FA9" w:rsidRPr="0059557C" w:rsidRDefault="00651FA9" w:rsidP="0059557C">
            <w:pPr>
              <w:spacing w:line="259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FA9" w:rsidTr="00813D35">
        <w:trPr>
          <w:trHeight w:val="4356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2F0BE9" w:rsidRDefault="00651FA9" w:rsidP="002F0BE9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Skills and Attributes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Excellent communication skills with the ability to adapt to a wide range of communication and learning styles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0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High level of optimism, initiative and effective interpersonal skills in order to engage effectively with service users, clinical teams and employers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Influencing skills that promote commitment and action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Customer focused with a strong commitment to client care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Disability Capability with demonstrable experience of supporting clients with mental ill health and other health conditions and disabilities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Strong team player with a positive and flexible approach to both work and colleagues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Creative problem solving skills and a positive approach to challenging and overcoming limiting beliefs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Ability to plan and organise workload to meet required targets and deadlines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>Experience of people development on a one to one</w:t>
            </w:r>
            <w:r w:rsidR="006B709D">
              <w:rPr>
                <w:rFonts w:asciiTheme="minorHAnsi" w:hAnsiTheme="minorHAnsi"/>
                <w:sz w:val="22"/>
                <w:szCs w:val="22"/>
              </w:rPr>
              <w:t xml:space="preserve"> and group</w:t>
            </w:r>
            <w:r w:rsidRPr="00FD6BA3">
              <w:rPr>
                <w:rFonts w:asciiTheme="minorHAnsi" w:hAnsiTheme="minorHAnsi"/>
                <w:sz w:val="22"/>
                <w:szCs w:val="22"/>
              </w:rPr>
              <w:t xml:space="preserve"> basis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Experience of meeting and exceeding programme outcomes and targets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45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Accurate identification of candidate support needs both pre and post-employment, with appropriate interventions delivered by self, or sourced through additional support networks </w:t>
            </w:r>
          </w:p>
          <w:p w:rsidR="00651FA9" w:rsidRPr="00FD6BA3" w:rsidRDefault="00FD6BA3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>Ability to Create and deliver</w:t>
            </w:r>
            <w:r w:rsidR="00651FA9" w:rsidRPr="00FD6B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6BA3"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651FA9" w:rsidRPr="00FD6BA3">
              <w:rPr>
                <w:rFonts w:asciiTheme="minorHAnsi" w:hAnsiTheme="minorHAnsi"/>
                <w:sz w:val="22"/>
                <w:szCs w:val="22"/>
              </w:rPr>
              <w:t xml:space="preserve"> Action Plans 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after="5" w:line="238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Experience working with employers to develop job opportunities for clients, and to support them whilst in work </w:t>
            </w:r>
          </w:p>
          <w:p w:rsidR="00651FA9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Attention to detail and ability to work to a defined delivery structure </w:t>
            </w:r>
          </w:p>
          <w:p w:rsidR="006B709D" w:rsidRDefault="006B709D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Proficient in using information technology systems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Cognisoft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Microsoft, CRM etc.)</w:t>
            </w:r>
          </w:p>
          <w:p w:rsidR="006B709D" w:rsidRPr="00FD6BA3" w:rsidRDefault="006B709D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keeping manual and computerised records</w:t>
            </w:r>
          </w:p>
          <w:p w:rsidR="00651FA9" w:rsidRPr="00FD6BA3" w:rsidRDefault="00651FA9" w:rsidP="002F0BE9">
            <w:pPr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Able to work flexible hours and travel through prior arrangement as the needs of the job dictate. </w:t>
            </w:r>
          </w:p>
        </w:tc>
      </w:tr>
      <w:tr w:rsidR="00651FA9" w:rsidTr="00813D35">
        <w:trPr>
          <w:trHeight w:val="44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FD6BA3" w:rsidRDefault="00651FA9" w:rsidP="00813D35">
            <w:pPr>
              <w:spacing w:line="259" w:lineRule="auto"/>
              <w:ind w:left="721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1FA9" w:rsidTr="00813D35">
        <w:trPr>
          <w:trHeight w:val="1301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FD6BA3" w:rsidRDefault="00651FA9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Personal qualities, communicating and relating to others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Ability to cope with a variety of challenging situations in a calm and sensitive manner 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Empathy and belief in the potential of people with differing needs 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(E)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>Ability to encourage, persuade and motivate at all levels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 (E)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>Excellent interpersonal, communication and presentation skills</w:t>
            </w:r>
            <w:r w:rsidR="00FD6BA3"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 (D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709D" w:rsidRPr="002F0BE9" w:rsidRDefault="006B709D" w:rsidP="002F0BE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>Self-motivated, flexible, adaptable and able to work under pressure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</w:p>
          <w:p w:rsidR="00651FA9" w:rsidRPr="00FD6BA3" w:rsidRDefault="00651FA9" w:rsidP="002F0BE9">
            <w:pPr>
              <w:spacing w:line="259" w:lineRule="auto"/>
              <w:ind w:firstLine="4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FA9" w:rsidTr="00813D35">
        <w:trPr>
          <w:trHeight w:val="104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FD6BA3" w:rsidRDefault="00651FA9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Safeguarding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6"/>
              </w:numPr>
              <w:spacing w:line="238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Be able to display an awareness, understanding and commitment to the protection and safeguarding of young people and vulnerable adults. 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 xml:space="preserve">(E) </w:t>
            </w:r>
          </w:p>
          <w:p w:rsidR="00651FA9" w:rsidRPr="00FD6BA3" w:rsidRDefault="00651FA9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This post requires a Disclosure &amp; Barring Service (DBS) disclosure at an Enhanced level 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1FA9" w:rsidTr="00813D35">
        <w:trPr>
          <w:trHeight w:val="86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9" w:rsidRPr="00FD6BA3" w:rsidRDefault="00651FA9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</w:p>
          <w:p w:rsidR="00651FA9" w:rsidRPr="002F0BE9" w:rsidRDefault="00651FA9" w:rsidP="002F0BE9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F0BE9">
              <w:rPr>
                <w:rFonts w:asciiTheme="minorHAnsi" w:hAnsiTheme="minorHAnsi"/>
                <w:sz w:val="22"/>
                <w:szCs w:val="22"/>
              </w:rPr>
              <w:t xml:space="preserve">Have an understanding of and be able to demonstrate a commitment to Equal Opportunities and Diversity. </w:t>
            </w:r>
            <w:r w:rsidRPr="002F0BE9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2F0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1FA9" w:rsidRPr="00FD6BA3" w:rsidRDefault="00651FA9" w:rsidP="00813D3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D6B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651FA9" w:rsidRDefault="00651FA9" w:rsidP="00651FA9">
      <w:pPr>
        <w:spacing w:after="197" w:line="259" w:lineRule="auto"/>
        <w:ind w:left="61"/>
        <w:jc w:val="center"/>
      </w:pPr>
      <w:r>
        <w:rPr>
          <w:color w:val="000000"/>
        </w:rPr>
        <w:t xml:space="preserve"> </w:t>
      </w:r>
    </w:p>
    <w:p w:rsidR="00651FA9" w:rsidRPr="003D27C3" w:rsidRDefault="00651FA9" w:rsidP="00651FA9">
      <w:pPr>
        <w:pStyle w:val="Heading2"/>
        <w:spacing w:after="206"/>
        <w:rPr>
          <w:sz w:val="24"/>
          <w:szCs w:val="24"/>
        </w:rPr>
      </w:pPr>
      <w:r w:rsidRPr="003D27C3">
        <w:rPr>
          <w:sz w:val="24"/>
          <w:szCs w:val="24"/>
        </w:rPr>
        <w:t xml:space="preserve">As well as possessing the necessary qualifications, skills, knowledge or experience, having the right mind-set and behaviours which are in line with our company values is equally important </w:t>
      </w:r>
    </w:p>
    <w:p w:rsidR="00651FA9" w:rsidRPr="00FD6BA3" w:rsidRDefault="00651FA9" w:rsidP="00FD6BA3">
      <w:pPr>
        <w:spacing w:after="237" w:line="259" w:lineRule="auto"/>
      </w:pPr>
      <w:r>
        <w:rPr>
          <w:b/>
        </w:rPr>
        <w:t xml:space="preserve"> </w:t>
      </w:r>
    </w:p>
    <w:sectPr w:rsidR="00651FA9" w:rsidRPr="00FD6BA3" w:rsidSect="001B4972">
      <w:footerReference w:type="default" r:id="rId8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13" w:rsidRDefault="00A51713" w:rsidP="00BE19EB">
      <w:r>
        <w:separator/>
      </w:r>
    </w:p>
  </w:endnote>
  <w:endnote w:type="continuationSeparator" w:id="0">
    <w:p w:rsidR="00A51713" w:rsidRDefault="00A51713" w:rsidP="00B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72" w:rsidRDefault="001B4972">
    <w:pPr>
      <w:pStyle w:val="Footer"/>
    </w:pPr>
  </w:p>
  <w:p w:rsidR="00BE19EB" w:rsidRDefault="00025E2E">
    <w:pPr>
      <w:pStyle w:val="Footer"/>
    </w:pPr>
    <w:r>
      <w:t>BBO Shropshire, Telford &amp; Wrekin</w:t>
    </w:r>
    <w:r w:rsidR="00F978CD">
      <w:t xml:space="preserve"> </w:t>
    </w:r>
    <w:r w:rsidR="00E71F5D">
      <w:t>Employment Specialist</w:t>
    </w:r>
  </w:p>
  <w:p w:rsidR="00BE19EB" w:rsidRDefault="00BE19EB">
    <w:pPr>
      <w:pStyle w:val="Footer"/>
    </w:pPr>
  </w:p>
  <w:p w:rsidR="00BE19EB" w:rsidRDefault="00BE1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13" w:rsidRDefault="00A51713" w:rsidP="00BE19EB">
      <w:r>
        <w:separator/>
      </w:r>
    </w:p>
  </w:footnote>
  <w:footnote w:type="continuationSeparator" w:id="0">
    <w:p w:rsidR="00A51713" w:rsidRDefault="00A51713" w:rsidP="00BE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812"/>
    <w:multiLevelType w:val="hybridMultilevel"/>
    <w:tmpl w:val="D8EE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0D1"/>
    <w:multiLevelType w:val="hybridMultilevel"/>
    <w:tmpl w:val="477C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E2C"/>
    <w:multiLevelType w:val="hybridMultilevel"/>
    <w:tmpl w:val="0080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0854"/>
    <w:multiLevelType w:val="hybridMultilevel"/>
    <w:tmpl w:val="70C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3B38"/>
    <w:multiLevelType w:val="hybridMultilevel"/>
    <w:tmpl w:val="1752292A"/>
    <w:lvl w:ilvl="0" w:tplc="B872980E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C310E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4268B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A44DE6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40ABA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84EC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F25788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43C26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5C040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C5BA3"/>
    <w:multiLevelType w:val="hybridMultilevel"/>
    <w:tmpl w:val="B0005F10"/>
    <w:lvl w:ilvl="0" w:tplc="59602C90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D49576">
      <w:start w:val="1"/>
      <w:numFmt w:val="bullet"/>
      <w:lvlText w:val="o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C4458">
      <w:start w:val="1"/>
      <w:numFmt w:val="bullet"/>
      <w:lvlText w:val="▪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81A12">
      <w:start w:val="1"/>
      <w:numFmt w:val="bullet"/>
      <w:lvlText w:val="•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E8F20">
      <w:start w:val="1"/>
      <w:numFmt w:val="bullet"/>
      <w:lvlText w:val="o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E68426">
      <w:start w:val="1"/>
      <w:numFmt w:val="bullet"/>
      <w:lvlText w:val="▪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8FE9E">
      <w:start w:val="1"/>
      <w:numFmt w:val="bullet"/>
      <w:lvlText w:val="•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8ADB4">
      <w:start w:val="1"/>
      <w:numFmt w:val="bullet"/>
      <w:lvlText w:val="o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E7FC2">
      <w:start w:val="1"/>
      <w:numFmt w:val="bullet"/>
      <w:lvlText w:val="▪"/>
      <w:lvlJc w:val="left"/>
      <w:pPr>
        <w:ind w:left="69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F289A"/>
    <w:multiLevelType w:val="hybridMultilevel"/>
    <w:tmpl w:val="A7FE588E"/>
    <w:lvl w:ilvl="0" w:tplc="92A6594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CF8A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249B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AC30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ADF5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E28B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0F66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A10F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6686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36FE0"/>
    <w:multiLevelType w:val="hybridMultilevel"/>
    <w:tmpl w:val="504A90CC"/>
    <w:lvl w:ilvl="0" w:tplc="7BC249DA">
      <w:start w:val="1"/>
      <w:numFmt w:val="bullet"/>
      <w:lvlText w:val="▪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C7E28">
      <w:start w:val="1"/>
      <w:numFmt w:val="bullet"/>
      <w:lvlText w:val="o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CCE6BA">
      <w:start w:val="1"/>
      <w:numFmt w:val="bullet"/>
      <w:lvlText w:val="▪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B6BA34">
      <w:start w:val="1"/>
      <w:numFmt w:val="bullet"/>
      <w:lvlText w:val="•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2CC43C">
      <w:start w:val="1"/>
      <w:numFmt w:val="bullet"/>
      <w:lvlText w:val="o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447BC">
      <w:start w:val="1"/>
      <w:numFmt w:val="bullet"/>
      <w:lvlText w:val="▪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82D2C">
      <w:start w:val="1"/>
      <w:numFmt w:val="bullet"/>
      <w:lvlText w:val="•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C6E7EE">
      <w:start w:val="1"/>
      <w:numFmt w:val="bullet"/>
      <w:lvlText w:val="o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C84E7C">
      <w:start w:val="1"/>
      <w:numFmt w:val="bullet"/>
      <w:lvlText w:val="▪"/>
      <w:lvlJc w:val="left"/>
      <w:pPr>
        <w:ind w:left="6951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83A49"/>
    <w:multiLevelType w:val="hybridMultilevel"/>
    <w:tmpl w:val="62D8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7269"/>
    <w:multiLevelType w:val="hybridMultilevel"/>
    <w:tmpl w:val="ED2C5DAE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D7A75E8"/>
    <w:multiLevelType w:val="hybridMultilevel"/>
    <w:tmpl w:val="40AA4B2E"/>
    <w:lvl w:ilvl="0" w:tplc="74C893BA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E317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AB10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84B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0030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620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16FEB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625F4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3A7E8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9B088B"/>
    <w:multiLevelType w:val="hybridMultilevel"/>
    <w:tmpl w:val="E9B08176"/>
    <w:lvl w:ilvl="0" w:tplc="08090001">
      <w:start w:val="1"/>
      <w:numFmt w:val="bullet"/>
      <w:lvlText w:val=""/>
      <w:lvlJc w:val="left"/>
      <w:pPr>
        <w:ind w:left="716"/>
      </w:pPr>
      <w:rPr>
        <w:rFonts w:ascii="Symbol" w:hAnsi="Symbol" w:hint="default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E317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AB10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84B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0030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620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16FEB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625F4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3A7E8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16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007D6"/>
    <w:rsid w:val="0000369A"/>
    <w:rsid w:val="00025E2E"/>
    <w:rsid w:val="00030584"/>
    <w:rsid w:val="00093C14"/>
    <w:rsid w:val="00097181"/>
    <w:rsid w:val="000C40C8"/>
    <w:rsid w:val="000D75C2"/>
    <w:rsid w:val="001207A9"/>
    <w:rsid w:val="001633EB"/>
    <w:rsid w:val="001A5578"/>
    <w:rsid w:val="001B4972"/>
    <w:rsid w:val="00203093"/>
    <w:rsid w:val="002047D5"/>
    <w:rsid w:val="0022733F"/>
    <w:rsid w:val="00230E6E"/>
    <w:rsid w:val="00240444"/>
    <w:rsid w:val="00256978"/>
    <w:rsid w:val="00256D7F"/>
    <w:rsid w:val="00262CC6"/>
    <w:rsid w:val="00264EED"/>
    <w:rsid w:val="002766AA"/>
    <w:rsid w:val="00294B06"/>
    <w:rsid w:val="00297BDD"/>
    <w:rsid w:val="002A1E4F"/>
    <w:rsid w:val="002E0612"/>
    <w:rsid w:val="002F0795"/>
    <w:rsid w:val="002F0BE9"/>
    <w:rsid w:val="002F7318"/>
    <w:rsid w:val="0030512A"/>
    <w:rsid w:val="00355185"/>
    <w:rsid w:val="00370E61"/>
    <w:rsid w:val="00380768"/>
    <w:rsid w:val="00387769"/>
    <w:rsid w:val="003B55B4"/>
    <w:rsid w:val="003D27C3"/>
    <w:rsid w:val="003F2C79"/>
    <w:rsid w:val="00407448"/>
    <w:rsid w:val="00407D01"/>
    <w:rsid w:val="00411008"/>
    <w:rsid w:val="00416D60"/>
    <w:rsid w:val="00443A7B"/>
    <w:rsid w:val="00450F29"/>
    <w:rsid w:val="00462689"/>
    <w:rsid w:val="00484CCD"/>
    <w:rsid w:val="00490B66"/>
    <w:rsid w:val="004B0A4B"/>
    <w:rsid w:val="004B2A0F"/>
    <w:rsid w:val="004F454C"/>
    <w:rsid w:val="0059557C"/>
    <w:rsid w:val="005C2332"/>
    <w:rsid w:val="005C539B"/>
    <w:rsid w:val="005E0D1F"/>
    <w:rsid w:val="00604512"/>
    <w:rsid w:val="006135AC"/>
    <w:rsid w:val="006218E9"/>
    <w:rsid w:val="00651FA9"/>
    <w:rsid w:val="006700A1"/>
    <w:rsid w:val="00676974"/>
    <w:rsid w:val="0068085B"/>
    <w:rsid w:val="006A5ADB"/>
    <w:rsid w:val="006B709D"/>
    <w:rsid w:val="006C0E8D"/>
    <w:rsid w:val="006C5E24"/>
    <w:rsid w:val="006F681F"/>
    <w:rsid w:val="007653BF"/>
    <w:rsid w:val="00784DAD"/>
    <w:rsid w:val="007B6CD5"/>
    <w:rsid w:val="008037FF"/>
    <w:rsid w:val="00806D0E"/>
    <w:rsid w:val="00814568"/>
    <w:rsid w:val="008229DC"/>
    <w:rsid w:val="00846673"/>
    <w:rsid w:val="00851FF1"/>
    <w:rsid w:val="0085491C"/>
    <w:rsid w:val="00873B35"/>
    <w:rsid w:val="008869FC"/>
    <w:rsid w:val="008D1287"/>
    <w:rsid w:val="008E36FC"/>
    <w:rsid w:val="00911C44"/>
    <w:rsid w:val="0094347A"/>
    <w:rsid w:val="009529ED"/>
    <w:rsid w:val="00960847"/>
    <w:rsid w:val="0099684D"/>
    <w:rsid w:val="009A5C63"/>
    <w:rsid w:val="009A711E"/>
    <w:rsid w:val="00A0182E"/>
    <w:rsid w:val="00A150C9"/>
    <w:rsid w:val="00A2737F"/>
    <w:rsid w:val="00A51713"/>
    <w:rsid w:val="00AA0075"/>
    <w:rsid w:val="00AC4CB5"/>
    <w:rsid w:val="00B046C9"/>
    <w:rsid w:val="00B54172"/>
    <w:rsid w:val="00B71A58"/>
    <w:rsid w:val="00B8555D"/>
    <w:rsid w:val="00BB02AF"/>
    <w:rsid w:val="00BC5B63"/>
    <w:rsid w:val="00BE0A2E"/>
    <w:rsid w:val="00BE19EB"/>
    <w:rsid w:val="00BE3E54"/>
    <w:rsid w:val="00C2088D"/>
    <w:rsid w:val="00C356A3"/>
    <w:rsid w:val="00C45801"/>
    <w:rsid w:val="00C46C5B"/>
    <w:rsid w:val="00CA38B5"/>
    <w:rsid w:val="00CC4790"/>
    <w:rsid w:val="00D2269F"/>
    <w:rsid w:val="00D77E65"/>
    <w:rsid w:val="00D87252"/>
    <w:rsid w:val="00D94415"/>
    <w:rsid w:val="00D969AD"/>
    <w:rsid w:val="00DC52C6"/>
    <w:rsid w:val="00DD0FEC"/>
    <w:rsid w:val="00E6069D"/>
    <w:rsid w:val="00E71F5D"/>
    <w:rsid w:val="00E73231"/>
    <w:rsid w:val="00EA0B37"/>
    <w:rsid w:val="00EB0D3A"/>
    <w:rsid w:val="00EB2FB9"/>
    <w:rsid w:val="00F607CF"/>
    <w:rsid w:val="00F67930"/>
    <w:rsid w:val="00F82A5E"/>
    <w:rsid w:val="00F90CBC"/>
    <w:rsid w:val="00F978CD"/>
    <w:rsid w:val="00FD0A06"/>
    <w:rsid w:val="00FD6BA3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960FCB-0CE5-4B49-A549-8AD461B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51FA9"/>
    <w:pPr>
      <w:keepNext/>
      <w:keepLines/>
      <w:spacing w:after="202" w:line="259" w:lineRule="auto"/>
      <w:ind w:left="10" w:hanging="10"/>
      <w:outlineLvl w:val="0"/>
    </w:pPr>
    <w:rPr>
      <w:rFonts w:ascii="Arial" w:eastAsia="Arial" w:hAnsi="Arial" w:cs="Arial"/>
      <w:b/>
      <w:color w:val="1F497D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651FA9"/>
    <w:pPr>
      <w:keepNext/>
      <w:keepLines/>
      <w:spacing w:line="268" w:lineRule="auto"/>
      <w:ind w:left="10" w:hanging="10"/>
      <w:jc w:val="both"/>
      <w:outlineLvl w:val="1"/>
    </w:pPr>
    <w:rPr>
      <w:rFonts w:ascii="Arial" w:eastAsia="Arial" w:hAnsi="Arial" w:cs="Arial"/>
      <w:b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rsid w:val="0037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9E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9EB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FA9"/>
    <w:rPr>
      <w:rFonts w:ascii="Arial" w:eastAsia="Arial" w:hAnsi="Arial" w:cs="Arial"/>
      <w:b/>
      <w:color w:val="1F497D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51FA9"/>
    <w:rPr>
      <w:rFonts w:ascii="Arial" w:eastAsia="Arial" w:hAnsi="Arial" w:cs="Arial"/>
      <w:b/>
      <w:color w:val="1F497D"/>
      <w:sz w:val="22"/>
      <w:szCs w:val="22"/>
    </w:rPr>
  </w:style>
  <w:style w:type="table" w:customStyle="1" w:styleId="TableGrid0">
    <w:name w:val="TableGrid"/>
    <w:rsid w:val="00651F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Nicki Ulloa</cp:lastModifiedBy>
  <cp:revision>2</cp:revision>
  <cp:lastPrinted>2019-03-11T11:41:00Z</cp:lastPrinted>
  <dcterms:created xsi:type="dcterms:W3CDTF">2020-06-11T16:12:00Z</dcterms:created>
  <dcterms:modified xsi:type="dcterms:W3CDTF">2020-06-11T16:12:00Z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